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584314B1"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9E0BDD">
        <w:rPr>
          <w:rFonts w:asciiTheme="minorHAnsi" w:eastAsiaTheme="minorEastAsia" w:hAnsiTheme="minorHAnsi" w:cstheme="minorHAnsi"/>
          <w:b/>
          <w:bCs/>
          <w:szCs w:val="19"/>
          <w:lang w:val="it-IT" w:eastAsia="zh-CN"/>
        </w:rPr>
        <w:t>23</w:t>
      </w:r>
      <w:r w:rsidR="007E0A29" w:rsidRPr="007E0A29">
        <w:rPr>
          <w:rFonts w:asciiTheme="minorHAnsi" w:eastAsiaTheme="minorEastAsia" w:hAnsiTheme="minorHAnsi" w:cstheme="minorHAnsi"/>
          <w:b/>
          <w:bCs/>
          <w:szCs w:val="19"/>
          <w:lang w:val="it-IT" w:eastAsia="zh-CN"/>
        </w:rPr>
        <w:t xml:space="preserve"> gennaio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41C36969" w14:textId="77777777" w:rsidR="003A10B0" w:rsidRPr="003A10B0" w:rsidRDefault="003A10B0" w:rsidP="003A10B0">
      <w:pPr>
        <w:spacing w:line="276" w:lineRule="auto"/>
        <w:rPr>
          <w:rFonts w:asciiTheme="majorHAnsi" w:eastAsiaTheme="minorEastAsia" w:hAnsiTheme="majorHAnsi" w:cstheme="majorHAnsi"/>
          <w:b/>
          <w:bCs/>
          <w:sz w:val="20"/>
          <w:szCs w:val="20"/>
          <w:shd w:val="clear" w:color="auto" w:fill="FFFFFF"/>
          <w:lang w:val="fr-CH" w:eastAsia="zh-CN"/>
        </w:rPr>
      </w:pPr>
      <w:r w:rsidRPr="003A10B0">
        <w:rPr>
          <w:rFonts w:asciiTheme="majorHAnsi" w:eastAsiaTheme="minorEastAsia" w:hAnsiTheme="majorHAnsi" w:cstheme="majorHAnsi"/>
          <w:b/>
          <w:sz w:val="20"/>
          <w:szCs w:val="20"/>
          <w:shd w:val="clear" w:color="auto" w:fill="FFFFFF"/>
          <w:lang w:val="it-IT" w:eastAsia="zh-CN" w:bidi="it-IT"/>
        </w:rPr>
        <w:t xml:space="preserve">BOBST aumenta l'efficienza e la produttività con innovazioni rivoluzionarie sulla EXPERTCUT 106 PER </w:t>
      </w:r>
    </w:p>
    <w:p w14:paraId="00AFB212" w14:textId="77777777" w:rsidR="003A10B0" w:rsidRPr="003A10B0" w:rsidRDefault="003A10B0" w:rsidP="003A10B0">
      <w:pPr>
        <w:rPr>
          <w:rFonts w:asciiTheme="majorHAnsi" w:eastAsiaTheme="minorEastAsia" w:hAnsiTheme="majorHAnsi" w:cstheme="majorHAnsi"/>
          <w:b/>
          <w:bCs/>
          <w:sz w:val="20"/>
          <w:szCs w:val="20"/>
          <w:lang w:val="fr-CH" w:eastAsia="zh-CN"/>
        </w:rPr>
      </w:pPr>
    </w:p>
    <w:p w14:paraId="6F4F169B" w14:textId="77777777" w:rsidR="003A10B0" w:rsidRPr="003A10B0" w:rsidRDefault="003A10B0" w:rsidP="003A10B0">
      <w:pPr>
        <w:spacing w:line="276" w:lineRule="auto"/>
        <w:rPr>
          <w:rFonts w:asciiTheme="majorHAnsi" w:eastAsiaTheme="minorEastAsia" w:hAnsiTheme="majorHAnsi" w:cstheme="majorHAnsi"/>
          <w:b/>
          <w:bCs/>
          <w:sz w:val="20"/>
          <w:szCs w:val="20"/>
          <w:shd w:val="clear" w:color="auto" w:fill="FFFFFF"/>
          <w:lang w:val="fr-CH" w:eastAsia="zh-CN"/>
        </w:rPr>
      </w:pPr>
      <w:r w:rsidRPr="003A10B0">
        <w:rPr>
          <w:rFonts w:asciiTheme="majorHAnsi" w:eastAsiaTheme="minorEastAsia" w:hAnsiTheme="majorHAnsi" w:cstheme="majorHAnsi"/>
          <w:b/>
          <w:sz w:val="20"/>
          <w:szCs w:val="20"/>
          <w:shd w:val="clear" w:color="auto" w:fill="FFFFFF"/>
          <w:lang w:val="it-IT" w:eastAsia="zh-CN" w:bidi="it-IT"/>
        </w:rPr>
        <w:t xml:space="preserve">I clienti BOBST possono ridurre i tempi di patching fino a 15 minuti per lavoro e diminuire il consumo di cartone grazie alle due nuove funzionalità esclusive che il leader mondiale nella fornitura di apparecchiature e servizi per la stampa e la trasformazione ha aggiunto alla sua EXPERTCUT 106 PER. </w:t>
      </w:r>
    </w:p>
    <w:p w14:paraId="48232FBF" w14:textId="77777777" w:rsidR="003A10B0" w:rsidRPr="003A10B0" w:rsidRDefault="003A10B0" w:rsidP="003A10B0">
      <w:pPr>
        <w:spacing w:line="276" w:lineRule="auto"/>
        <w:rPr>
          <w:rFonts w:asciiTheme="majorHAnsi" w:eastAsiaTheme="minorEastAsia" w:hAnsiTheme="majorHAnsi" w:cstheme="majorHAnsi"/>
          <w:b/>
          <w:bCs/>
          <w:sz w:val="20"/>
          <w:szCs w:val="20"/>
          <w:shd w:val="clear" w:color="auto" w:fill="FFFFFF"/>
          <w:lang w:val="fr-CH" w:eastAsia="zh-CN"/>
        </w:rPr>
      </w:pPr>
    </w:p>
    <w:p w14:paraId="08EB85EF" w14:textId="77777777" w:rsidR="003A10B0" w:rsidRPr="003A10B0" w:rsidRDefault="003A10B0" w:rsidP="003A10B0">
      <w:pPr>
        <w:spacing w:line="276" w:lineRule="auto"/>
        <w:rPr>
          <w:rFonts w:asciiTheme="majorHAnsi" w:eastAsiaTheme="minorEastAsia" w:hAnsiTheme="majorHAnsi" w:cstheme="majorHAnsi"/>
          <w:sz w:val="20"/>
          <w:szCs w:val="20"/>
          <w:shd w:val="clear" w:color="auto" w:fill="FFFFFF"/>
          <w:lang w:val="it-IT" w:eastAsia="zh-CN"/>
        </w:rPr>
      </w:pPr>
      <w:r w:rsidRPr="003A10B0">
        <w:rPr>
          <w:rFonts w:asciiTheme="majorHAnsi" w:eastAsiaTheme="minorEastAsia" w:hAnsiTheme="majorHAnsi" w:cstheme="majorHAnsi"/>
          <w:sz w:val="20"/>
          <w:szCs w:val="20"/>
          <w:shd w:val="clear" w:color="auto" w:fill="FFFFFF"/>
          <w:lang w:val="it-IT" w:eastAsia="zh-CN" w:bidi="it-IT"/>
        </w:rPr>
        <w:t xml:space="preserve">Gli aggiornamenti alla fustellatrice sono progettati per aiutare le aziende di trasformazione a risparmiare tempo e risorse ottimizzando gli utensili delle macchine e aumentando le capacità di registro dei fogli. Tra questi rientrano la nuova platina ACCUPLATEN e la piastra ZERO PATCHING, che riducono al minimo o compensano la deformazione della platina, nonché POWER REGISTER Plus, in grado di ridurre lo spreco di fogli introducendo un nuovo sistema di registrazione delle marche di registro. </w:t>
      </w:r>
    </w:p>
    <w:p w14:paraId="4E7DE99B" w14:textId="77777777" w:rsidR="003A10B0" w:rsidRPr="003A10B0" w:rsidRDefault="003A10B0" w:rsidP="003A10B0">
      <w:pPr>
        <w:spacing w:line="276" w:lineRule="auto"/>
        <w:rPr>
          <w:rFonts w:asciiTheme="majorHAnsi" w:eastAsiaTheme="minorEastAsia" w:hAnsiTheme="majorHAnsi" w:cstheme="majorHAnsi"/>
          <w:sz w:val="20"/>
          <w:szCs w:val="20"/>
          <w:shd w:val="clear" w:color="auto" w:fill="FFFFFF"/>
          <w:lang w:val="it-IT" w:eastAsia="zh-CN"/>
        </w:rPr>
      </w:pPr>
    </w:p>
    <w:p w14:paraId="4F77B999" w14:textId="77777777" w:rsidR="003A10B0" w:rsidRPr="003A10B0" w:rsidRDefault="003A10B0" w:rsidP="003A10B0">
      <w:pPr>
        <w:spacing w:line="276" w:lineRule="auto"/>
        <w:rPr>
          <w:rFonts w:asciiTheme="majorHAnsi" w:eastAsiaTheme="minorEastAsia" w:hAnsiTheme="majorHAnsi" w:cstheme="majorHAnsi"/>
          <w:sz w:val="20"/>
          <w:szCs w:val="20"/>
          <w:lang w:val="it-IT" w:eastAsia="zh-CN"/>
        </w:rPr>
      </w:pPr>
      <w:r w:rsidRPr="003A10B0">
        <w:rPr>
          <w:rFonts w:asciiTheme="majorHAnsi" w:eastAsiaTheme="minorEastAsia" w:hAnsiTheme="majorHAnsi" w:cstheme="majorHAnsi"/>
          <w:sz w:val="20"/>
          <w:szCs w:val="20"/>
          <w:lang w:val="it-IT" w:eastAsia="zh-CN" w:bidi="it-IT"/>
        </w:rPr>
        <w:t>BOBST ha già ridotto di 15 minuti i tempi di preparazione della sua gamma di fustellatrici per scatole pieghevoli grazie alla funzionalità SPEED CHANGE. Con l'aggiunta del pacchetto opzionale Energy Efficiency Pack e di una nuova gamma di innovazioni tecniche, EXPERTCUT 106 PER stabilisce nuovi standard di efficienza produttiva.</w:t>
      </w:r>
    </w:p>
    <w:p w14:paraId="3F17F7B3" w14:textId="77777777" w:rsidR="003A10B0" w:rsidRPr="003A10B0" w:rsidRDefault="003A10B0" w:rsidP="003A10B0">
      <w:pPr>
        <w:spacing w:line="276" w:lineRule="auto"/>
        <w:rPr>
          <w:rFonts w:asciiTheme="majorHAnsi" w:eastAsiaTheme="minorEastAsia" w:hAnsiTheme="majorHAnsi" w:cstheme="majorHAnsi"/>
          <w:sz w:val="20"/>
          <w:szCs w:val="20"/>
          <w:lang w:val="it-IT" w:eastAsia="zh-CN"/>
        </w:rPr>
      </w:pPr>
    </w:p>
    <w:p w14:paraId="1586750F"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en-US" w:eastAsia="zh-CN"/>
        </w:rPr>
      </w:pPr>
      <w:r w:rsidRPr="003A10B0">
        <w:rPr>
          <w:rFonts w:asciiTheme="majorHAnsi" w:eastAsiaTheme="minorEastAsia" w:hAnsiTheme="majorHAnsi" w:cstheme="majorHAnsi"/>
          <w:b/>
          <w:sz w:val="20"/>
          <w:szCs w:val="20"/>
          <w:lang w:val="it-IT" w:eastAsia="zh-CN" w:bidi="it-IT"/>
        </w:rPr>
        <w:t xml:space="preserve">Ottimizzare i tempi di attività della macchina con ACCUPLATEN e </w:t>
      </w:r>
      <w:r w:rsidRPr="003A10B0">
        <w:rPr>
          <w:rFonts w:asciiTheme="majorHAnsi" w:eastAsiaTheme="minorEastAsia" w:hAnsiTheme="majorHAnsi" w:cstheme="majorHAnsi"/>
          <w:b/>
          <w:color w:val="000000"/>
          <w:sz w:val="20"/>
          <w:szCs w:val="20"/>
          <w:shd w:val="clear" w:color="auto" w:fill="FFFFFF"/>
          <w:lang w:val="it-IT" w:eastAsia="zh-CN" w:bidi="it-IT"/>
        </w:rPr>
        <w:t>ZERO PATCHING</w:t>
      </w:r>
    </w:p>
    <w:p w14:paraId="62456A8F"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r w:rsidRPr="003A10B0">
        <w:rPr>
          <w:rFonts w:asciiTheme="majorHAnsi" w:eastAsiaTheme="minorEastAsia" w:hAnsiTheme="majorHAnsi" w:cstheme="majorHAnsi"/>
          <w:sz w:val="20"/>
          <w:szCs w:val="20"/>
          <w:lang w:val="it-IT" w:eastAsia="zh-CN" w:bidi="it-IT"/>
        </w:rPr>
        <w:t xml:space="preserve">A drupa 2024, BOBST ha presentato al mondo un'innovazione inedita nel settore della fustellatura: ACCUPLATEN. “Questa platina riprogettata rappresenta una svolta”, afferma Bodo Junge, Product Marketing Director responsabile della gamma di fustellatrici. “Con ACCUPLATEN, BOBST è riuscita a ridurre al minimo la deformazione della piastra di taglio e a diminuire i tempi di patching fino all'80%. Ciò significa meno interventi da parte dell'operatore, maggiore durata degli utensili e fino a 15 minuti di operatività in più per lavoro”. Poiché ACCUPLATEN è disponibile solo sulle nuove macchine, è possibile utilizzare una piastra </w:t>
      </w:r>
      <w:r w:rsidRPr="003A10B0">
        <w:rPr>
          <w:rFonts w:asciiTheme="majorHAnsi" w:eastAsiaTheme="minorEastAsia" w:hAnsiTheme="majorHAnsi" w:cstheme="majorHAnsi"/>
          <w:color w:val="000000"/>
          <w:sz w:val="20"/>
          <w:szCs w:val="20"/>
          <w:shd w:val="clear" w:color="auto" w:fill="FFFFFF"/>
          <w:lang w:val="it-IT" w:eastAsia="zh-CN" w:bidi="it-IT"/>
        </w:rPr>
        <w:t>ZERO PATCHING</w:t>
      </w:r>
      <w:r w:rsidRPr="003A10B0">
        <w:rPr>
          <w:rFonts w:asciiTheme="majorHAnsi" w:eastAsiaTheme="minorEastAsia" w:hAnsiTheme="majorHAnsi" w:cstheme="majorHAnsi"/>
          <w:sz w:val="20"/>
          <w:szCs w:val="20"/>
          <w:lang w:val="it-IT" w:eastAsia="zh-CN" w:bidi="it-IT"/>
        </w:rPr>
        <w:t xml:space="preserve"> compatibile anche con le macchine di precedente generazione, offrendo una soluzione mirata per le aziende di trasformazione che necessitano di un’applicazione specifica. La piastra uniforma la deformazione della platina secondo la pressione esercitata in base alla distorsione della platina specifica della macchina, ottenendo inoltre una riduzione dei tempi di patching compresa tra il 50 e l'80%. Entrambe le soluzioni riducono il numero di fogli utilizzati per i controlli di qualità durante la configurazione della macchina e migliorano la qualità di fustellatura e cordonatura dei fogli finali, semplificando così la lavorazione successiva.</w:t>
      </w:r>
    </w:p>
    <w:p w14:paraId="1C15CCF0"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p>
    <w:p w14:paraId="0B63D6A0"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it-IT" w:eastAsia="zh-CN"/>
        </w:rPr>
      </w:pPr>
      <w:r w:rsidRPr="003A10B0">
        <w:rPr>
          <w:rFonts w:asciiTheme="majorHAnsi" w:eastAsiaTheme="minorEastAsia" w:hAnsiTheme="majorHAnsi" w:cstheme="majorHAnsi"/>
          <w:b/>
          <w:sz w:val="20"/>
          <w:szCs w:val="20"/>
          <w:lang w:val="it-IT" w:eastAsia="zh-CN" w:bidi="it-IT"/>
        </w:rPr>
        <w:t>Migliorare l’efficienza economica e la sostenibilità grazie a POWER REGISTER Plus</w:t>
      </w:r>
    </w:p>
    <w:p w14:paraId="102D7DE3"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r w:rsidRPr="003A10B0">
        <w:rPr>
          <w:rFonts w:asciiTheme="majorHAnsi" w:eastAsiaTheme="minorEastAsia" w:hAnsiTheme="majorHAnsi" w:cstheme="majorHAnsi"/>
          <w:sz w:val="20"/>
          <w:szCs w:val="20"/>
          <w:lang w:val="it-IT" w:eastAsia="zh-CN" w:bidi="it-IT"/>
        </w:rPr>
        <w:t xml:space="preserve">Semplicità delle preparazioni e attenzione alla qualità sono condizioni essenziali per evitare inutili sprechi. Il tempo e i fogli di cartone di qualità sono risorse preziose che hanno un impatto enorme sui margini di profitto delle aziende di trasformazione. Un ulteriore sviluppo è quindi dedicato alla riduzione dello spreco di fogli. Con POWER REGISTER Plus le capacità di riconoscimento del registro sono state adattate per includere piccolissime marche di riferimento sul lato di ogni foglio. In questo modo si risparmiano fino a 4 </w:t>
      </w:r>
      <w:r w:rsidRPr="003A10B0">
        <w:rPr>
          <w:rFonts w:asciiTheme="majorHAnsi" w:eastAsiaTheme="minorEastAsia" w:hAnsiTheme="majorHAnsi" w:cstheme="majorHAnsi"/>
          <w:sz w:val="20"/>
          <w:szCs w:val="20"/>
          <w:lang w:val="it-IT" w:eastAsia="zh-CN" w:bidi="it-IT"/>
        </w:rPr>
        <w:lastRenderedPageBreak/>
        <w:t xml:space="preserve">mm di cartone per le marche di registro frontali, riducendo il costo del cartone fino allo 0,5%. “Potrebbe non sembrare molto, ma a seconda del layout del lavoro, delle dimensioni delle marche di registro e della grammatura, questo nuovo sistema può far risparmiare fino a 1 tonnellata di cartone per 1 milione di fogli”, spiega Bodo Junge. “Meno sprechi significa anche meno tempo e sforzi per eliminarli, il che contribuisce alla sostenibilità del processo e del luogo di lavoro”. </w:t>
      </w:r>
    </w:p>
    <w:p w14:paraId="3C432510"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p>
    <w:p w14:paraId="76F1A81B"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r w:rsidRPr="003A10B0">
        <w:rPr>
          <w:rFonts w:asciiTheme="majorHAnsi" w:eastAsiaTheme="minorEastAsia" w:hAnsiTheme="majorHAnsi" w:cstheme="majorHAnsi"/>
          <w:sz w:val="20"/>
          <w:szCs w:val="20"/>
          <w:lang w:val="it-IT" w:eastAsia="zh-CN" w:bidi="it-IT"/>
        </w:rPr>
        <w:t>Le aziende di trasformazione che cercano convenienza e sostenibilità possono anche optare per il pacchetto Energy Efficiency Pack. Questa serie di caratteristiche comprende pompe ad aria a basso consumo energetico e un sistema di recupero dell'energia, che trasforma l'energia cinetica di frenata della macchina in elettricità. Il pacchetto contiene anche un sistema di flusso d'aria Bernoulli riprogettato, con prestazioni migliorate e consumi energetici e d'aria ridotti. Queste misure riducono il consumo energetico da 5 kWh a 4 kWh per 1.000 fogli, ovvero fino a 1 MWh per 1 milione di fogli. Inoltre, gli indicatori di monitoraggio dell’energia sull’interfaccia HMI possono rilevare ulteriori potenziali opportunità di risparmio energetico, riducendo i costi e supportando gli obiettivi di sostenibilità.</w:t>
      </w:r>
    </w:p>
    <w:p w14:paraId="2FCB1716" w14:textId="77777777" w:rsidR="003A10B0" w:rsidRPr="003A10B0" w:rsidRDefault="003A10B0" w:rsidP="003A10B0">
      <w:pPr>
        <w:spacing w:line="276" w:lineRule="auto"/>
        <w:rPr>
          <w:rFonts w:asciiTheme="majorHAnsi" w:eastAsiaTheme="minorEastAsia" w:hAnsiTheme="majorHAnsi" w:cstheme="majorHAnsi"/>
          <w:sz w:val="20"/>
          <w:szCs w:val="20"/>
          <w:lang w:val="it-IT" w:eastAsia="zh-CN"/>
        </w:rPr>
      </w:pPr>
    </w:p>
    <w:p w14:paraId="1D416376" w14:textId="77777777" w:rsidR="003A10B0" w:rsidRPr="003A10B0" w:rsidRDefault="003A10B0" w:rsidP="003A10B0">
      <w:pPr>
        <w:spacing w:line="276" w:lineRule="auto"/>
        <w:rPr>
          <w:rFonts w:asciiTheme="majorHAnsi" w:eastAsiaTheme="minorEastAsia" w:hAnsiTheme="majorHAnsi" w:cstheme="majorHAnsi"/>
          <w:b/>
          <w:bCs/>
          <w:sz w:val="20"/>
          <w:szCs w:val="20"/>
          <w:lang w:val="fr-CH" w:eastAsia="zh-CN"/>
        </w:rPr>
      </w:pPr>
      <w:r w:rsidRPr="003A10B0">
        <w:rPr>
          <w:rFonts w:asciiTheme="majorHAnsi" w:eastAsiaTheme="minorEastAsia" w:hAnsiTheme="majorHAnsi" w:cstheme="majorHAnsi"/>
          <w:b/>
          <w:sz w:val="20"/>
          <w:szCs w:val="20"/>
          <w:lang w:val="it-IT" w:eastAsia="zh-CN" w:bidi="it-IT"/>
        </w:rPr>
        <w:t xml:space="preserve">Incrementare la produttività con 9.500 fogli all'ora </w:t>
      </w:r>
    </w:p>
    <w:p w14:paraId="70916FBE" w14:textId="77777777" w:rsidR="003A10B0" w:rsidRPr="003A10B0" w:rsidRDefault="003A10B0" w:rsidP="003A10B0">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it-IT" w:eastAsia="zh-CN"/>
        </w:rPr>
      </w:pPr>
      <w:r w:rsidRPr="003A10B0">
        <w:rPr>
          <w:rFonts w:asciiTheme="majorHAnsi" w:eastAsiaTheme="minorEastAsia" w:hAnsiTheme="majorHAnsi" w:cstheme="majorHAnsi"/>
          <w:sz w:val="20"/>
          <w:szCs w:val="20"/>
          <w:lang w:val="it-IT" w:eastAsia="zh-CN" w:bidi="it-IT"/>
        </w:rPr>
        <w:t>Come i clienti si aspettano, EXPERTCUT 106 è dotata di SPHERE, l'interfaccia HMI di BOBST, ed è pienamente compatibile con le funzionalità attuali e future di BOBST Connect. La connessione di utensili, macchine, trasformatori e fornitori consentirà la trasmissione fluida dei dati attraverso una piattaforma basata su cloud, orchestrando l'intero processo di produzione. Oltre agli sviluppi digitali, il miglioramento continuo degli utensili e delle funzionalità della macchina rimane una parte importante delle innovazioni per garantire una qualità zero difetti e la massima produttività. Come le barre di pinza leggere di nuova concezione. “Questa EXPERTCUT 106 PER può essere dotata di nuove barre di pinza in fibra di carbonio, che ci consentono di ridurre le forze di inerzia e di accelerazione e di aumentare la velocità di produzione da 9.000 a 9.500 fogli/ora”, conclude Bodo Junge.</w:t>
      </w:r>
    </w:p>
    <w:p w14:paraId="1678CFFA" w14:textId="77777777" w:rsidR="003A10B0" w:rsidRPr="003A10B0" w:rsidRDefault="003A10B0" w:rsidP="003A10B0">
      <w:pPr>
        <w:spacing w:line="240" w:lineRule="auto"/>
        <w:textAlignment w:val="baseline"/>
        <w:rPr>
          <w:rFonts w:ascii="Segoe UI" w:hAnsi="Segoe UI" w:cs="Segoe UI"/>
          <w:sz w:val="20"/>
          <w:szCs w:val="20"/>
          <w:lang w:val="it-IT" w:eastAsia="fr-FR"/>
        </w:rPr>
      </w:pPr>
    </w:p>
    <w:p w14:paraId="33CF585A" w14:textId="5E886D2A" w:rsidR="003A10B0" w:rsidRDefault="002803F8" w:rsidP="003A10B0">
      <w:pPr>
        <w:spacing w:line="240" w:lineRule="auto"/>
        <w:textAlignment w:val="baseline"/>
        <w:rPr>
          <w:rFonts w:asciiTheme="minorHAnsi" w:hAnsiTheme="minorHAnsi" w:cstheme="minorHAnsi"/>
          <w:b/>
          <w:bCs/>
          <w:sz w:val="20"/>
          <w:szCs w:val="20"/>
          <w:lang w:val="it-IT" w:eastAsia="fr-FR"/>
        </w:rPr>
      </w:pPr>
      <w:r w:rsidRPr="002803F8">
        <w:rPr>
          <w:rFonts w:asciiTheme="minorHAnsi" w:hAnsiTheme="minorHAnsi" w:cstheme="minorHAnsi"/>
          <w:b/>
          <w:bCs/>
          <w:sz w:val="20"/>
          <w:szCs w:val="20"/>
          <w:lang w:val="it-IT" w:eastAsia="fr-FR"/>
        </w:rPr>
        <w:t>Immagine</w:t>
      </w:r>
    </w:p>
    <w:p w14:paraId="3B17FDE6" w14:textId="77777777" w:rsidR="002803F8" w:rsidRPr="003A10B0" w:rsidRDefault="002803F8" w:rsidP="003A10B0">
      <w:pPr>
        <w:spacing w:line="240" w:lineRule="auto"/>
        <w:textAlignment w:val="baseline"/>
        <w:rPr>
          <w:rFonts w:asciiTheme="minorHAnsi" w:hAnsiTheme="minorHAnsi" w:cstheme="minorHAnsi"/>
          <w:b/>
          <w:bCs/>
          <w:sz w:val="20"/>
          <w:szCs w:val="20"/>
          <w:lang w:val="it-IT" w:eastAsia="fr-FR"/>
        </w:rPr>
      </w:pPr>
    </w:p>
    <w:p w14:paraId="347D46D1" w14:textId="77777777" w:rsidR="003A10B0" w:rsidRPr="003A10B0" w:rsidRDefault="003A10B0" w:rsidP="003A10B0">
      <w:pPr>
        <w:spacing w:line="240" w:lineRule="auto"/>
        <w:textAlignment w:val="baseline"/>
        <w:rPr>
          <w:rFonts w:eastAsiaTheme="majorEastAsia" w:cs="Arial"/>
          <w:sz w:val="20"/>
          <w:szCs w:val="20"/>
          <w:lang w:val="en-US" w:eastAsia="fr-FR"/>
        </w:rPr>
      </w:pPr>
      <w:r w:rsidRPr="003A10B0">
        <w:rPr>
          <w:rFonts w:eastAsiaTheme="majorEastAsia" w:cs="Arial"/>
          <w:sz w:val="20"/>
          <w:szCs w:val="20"/>
          <w:lang w:val="it-IT" w:eastAsia="fr-FR" w:bidi="it-IT"/>
        </w:rPr>
        <w:t>((01_EXPERTCUT 106 PER_Overview))  </w:t>
      </w:r>
      <w:r w:rsidRPr="003A10B0">
        <w:rPr>
          <w:rFonts w:eastAsiaTheme="majorEastAsia" w:cs="Arial"/>
          <w:sz w:val="20"/>
          <w:szCs w:val="20"/>
          <w:lang w:val="it-IT" w:eastAsia="fr-FR" w:bidi="it-IT"/>
        </w:rPr>
        <w:br/>
      </w:r>
      <w:r w:rsidRPr="003A10B0">
        <w:rPr>
          <w:rFonts w:eastAsiaTheme="majorEastAsia" w:cs="Arial"/>
          <w:noProof/>
          <w:sz w:val="20"/>
          <w:szCs w:val="20"/>
          <w:lang w:val="it-IT" w:eastAsia="fr-FR" w:bidi="it-IT"/>
        </w:rPr>
        <w:t>La nuova EXPERTCUT 106 PER</w:t>
      </w:r>
    </w:p>
    <w:p w14:paraId="45129CC3" w14:textId="77777777" w:rsidR="003A10B0" w:rsidRPr="003A10B0" w:rsidRDefault="003A10B0" w:rsidP="003A10B0">
      <w:pPr>
        <w:spacing w:line="240" w:lineRule="auto"/>
        <w:textAlignment w:val="baseline"/>
        <w:rPr>
          <w:rFonts w:eastAsiaTheme="majorEastAsia" w:cs="Arial"/>
          <w:sz w:val="20"/>
          <w:szCs w:val="20"/>
          <w:lang w:val="en-US" w:eastAsia="fr-FR"/>
        </w:rPr>
      </w:pPr>
    </w:p>
    <w:p w14:paraId="7614C0B3" w14:textId="77777777" w:rsidR="003A10B0" w:rsidRPr="003A10B0" w:rsidRDefault="003A10B0" w:rsidP="003A10B0">
      <w:pPr>
        <w:spacing w:line="240" w:lineRule="auto"/>
        <w:textAlignment w:val="baseline"/>
        <w:rPr>
          <w:rFonts w:eastAsiaTheme="majorEastAsia" w:cs="Arial"/>
          <w:sz w:val="20"/>
          <w:szCs w:val="20"/>
          <w:lang w:val="en-US" w:eastAsia="fr-FR" w:bidi="de-DE"/>
        </w:rPr>
      </w:pPr>
      <w:r w:rsidRPr="003A10B0">
        <w:rPr>
          <w:rFonts w:eastAsiaTheme="majorEastAsia" w:cs="Arial"/>
          <w:sz w:val="20"/>
          <w:szCs w:val="20"/>
          <w:lang w:val="it-IT" w:eastAsia="fr-FR" w:bidi="it-IT"/>
        </w:rPr>
        <w:t>((02_ EXPERTCUT 106 PER_ACCUPLATEN))</w:t>
      </w:r>
    </w:p>
    <w:p w14:paraId="15318765" w14:textId="77777777" w:rsidR="003A10B0" w:rsidRPr="003A10B0" w:rsidRDefault="003A10B0" w:rsidP="003A10B0">
      <w:pPr>
        <w:spacing w:line="240" w:lineRule="auto"/>
        <w:textAlignment w:val="baseline"/>
        <w:rPr>
          <w:rFonts w:eastAsiaTheme="majorEastAsia" w:cs="Arial"/>
          <w:sz w:val="20"/>
          <w:szCs w:val="20"/>
          <w:lang w:val="en-US" w:eastAsia="fr-FR" w:bidi="de-DE"/>
        </w:rPr>
      </w:pPr>
      <w:r w:rsidRPr="003A10B0">
        <w:rPr>
          <w:rFonts w:eastAsiaTheme="majorEastAsia" w:cs="Arial"/>
          <w:sz w:val="20"/>
          <w:szCs w:val="20"/>
          <w:lang w:val="it-IT" w:eastAsia="fr-FR" w:bidi="it-IT"/>
        </w:rPr>
        <w:t>Con ACCUPLATEN, i tempi di patching possono essere ridotti fino all'80%</w:t>
      </w:r>
    </w:p>
    <w:p w14:paraId="2823E49E" w14:textId="77777777" w:rsidR="003A10B0" w:rsidRPr="003A10B0" w:rsidRDefault="003A10B0" w:rsidP="003A10B0">
      <w:pPr>
        <w:spacing w:line="240" w:lineRule="auto"/>
        <w:textAlignment w:val="baseline"/>
        <w:rPr>
          <w:rFonts w:eastAsiaTheme="majorEastAsia" w:cs="Arial"/>
          <w:sz w:val="20"/>
          <w:szCs w:val="20"/>
          <w:lang w:val="en-US" w:eastAsia="fr-FR" w:bidi="de-DE"/>
        </w:rPr>
      </w:pPr>
    </w:p>
    <w:p w14:paraId="04063A59" w14:textId="77777777" w:rsidR="003A10B0" w:rsidRPr="003A10B0" w:rsidRDefault="003A10B0" w:rsidP="003A10B0">
      <w:pPr>
        <w:spacing w:line="240" w:lineRule="auto"/>
        <w:textAlignment w:val="baseline"/>
        <w:rPr>
          <w:rFonts w:eastAsiaTheme="majorEastAsia" w:cs="Arial"/>
          <w:sz w:val="20"/>
          <w:szCs w:val="20"/>
          <w:lang w:val="en-US" w:eastAsia="fr-FR"/>
        </w:rPr>
      </w:pPr>
      <w:r w:rsidRPr="003A10B0">
        <w:rPr>
          <w:rFonts w:eastAsiaTheme="majorEastAsia" w:cs="Arial"/>
          <w:sz w:val="20"/>
          <w:szCs w:val="20"/>
          <w:lang w:val="it-IT" w:eastAsia="fr-FR" w:bidi="it-IT"/>
        </w:rPr>
        <w:t>((03_ EXPERTCUT 106 PER_Register mark)) </w:t>
      </w:r>
    </w:p>
    <w:p w14:paraId="7DF91D9A" w14:textId="77777777" w:rsidR="003A10B0" w:rsidRPr="003A10B0" w:rsidRDefault="003A10B0" w:rsidP="003A10B0">
      <w:pPr>
        <w:spacing w:line="240" w:lineRule="auto"/>
        <w:rPr>
          <w:rFonts w:asciiTheme="minorHAnsi" w:eastAsiaTheme="minorEastAsia" w:hAnsiTheme="minorHAnsi" w:cstheme="minorHAnsi"/>
          <w:sz w:val="20"/>
          <w:szCs w:val="20"/>
          <w:lang w:val="en-US" w:eastAsia="zh-CN"/>
        </w:rPr>
      </w:pPr>
      <w:r w:rsidRPr="003A10B0">
        <w:rPr>
          <w:rFonts w:asciiTheme="minorHAnsi" w:eastAsiaTheme="minorEastAsia" w:hAnsiTheme="minorHAnsi" w:cstheme="minorHAnsi"/>
          <w:sz w:val="20"/>
          <w:szCs w:val="20"/>
          <w:lang w:val="it-IT" w:eastAsia="zh-CN" w:bidi="it-IT"/>
        </w:rPr>
        <w:t xml:space="preserve">Due piccoli quadrati su ogni lato del foglio fungono da marche di registro per POWER REGISTER Plus </w:t>
      </w:r>
    </w:p>
    <w:p w14:paraId="66C02479" w14:textId="77777777" w:rsidR="003643B2" w:rsidRPr="003A10B0" w:rsidRDefault="003643B2" w:rsidP="00B160AA">
      <w:pPr>
        <w:spacing w:line="276" w:lineRule="auto"/>
        <w:rPr>
          <w:rFonts w:cs="Arial"/>
          <w:b/>
          <w:bCs/>
          <w:sz w:val="20"/>
          <w:szCs w:val="20"/>
          <w:lang w:val="en-US" w:bidi="it-IT"/>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lastRenderedPageBreak/>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3A10B0">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7BDD" w14:textId="77777777" w:rsidR="00A619D8" w:rsidRDefault="00A619D8" w:rsidP="00BB5BE9">
      <w:pPr>
        <w:spacing w:line="240" w:lineRule="auto"/>
      </w:pPr>
      <w:r>
        <w:separator/>
      </w:r>
    </w:p>
  </w:endnote>
  <w:endnote w:type="continuationSeparator" w:id="0">
    <w:p w14:paraId="20A3CCE6" w14:textId="77777777" w:rsidR="00A619D8" w:rsidRDefault="00A619D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04C80" w14:textId="77777777" w:rsidR="00A619D8" w:rsidRDefault="00A619D8" w:rsidP="00BB5BE9">
      <w:pPr>
        <w:spacing w:line="240" w:lineRule="auto"/>
      </w:pPr>
      <w:r>
        <w:separator/>
      </w:r>
    </w:p>
  </w:footnote>
  <w:footnote w:type="continuationSeparator" w:id="0">
    <w:p w14:paraId="237D7677" w14:textId="77777777" w:rsidR="00A619D8" w:rsidRDefault="00A619D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09E8"/>
    <w:rsid w:val="00022041"/>
    <w:rsid w:val="00022F64"/>
    <w:rsid w:val="00033B2E"/>
    <w:rsid w:val="00043F57"/>
    <w:rsid w:val="00087D78"/>
    <w:rsid w:val="000936A8"/>
    <w:rsid w:val="000A7665"/>
    <w:rsid w:val="000C1D0E"/>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803F8"/>
    <w:rsid w:val="002D2103"/>
    <w:rsid w:val="002F47FE"/>
    <w:rsid w:val="00310503"/>
    <w:rsid w:val="003351F5"/>
    <w:rsid w:val="00355BAA"/>
    <w:rsid w:val="003643B2"/>
    <w:rsid w:val="003A10B0"/>
    <w:rsid w:val="003A29C4"/>
    <w:rsid w:val="003B7844"/>
    <w:rsid w:val="003E5180"/>
    <w:rsid w:val="004038E7"/>
    <w:rsid w:val="004076D0"/>
    <w:rsid w:val="00441DD3"/>
    <w:rsid w:val="00462EFC"/>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A4C8A"/>
    <w:rsid w:val="008A6F0B"/>
    <w:rsid w:val="008B5EF4"/>
    <w:rsid w:val="008D353F"/>
    <w:rsid w:val="008F266B"/>
    <w:rsid w:val="00905406"/>
    <w:rsid w:val="009334C9"/>
    <w:rsid w:val="009A0420"/>
    <w:rsid w:val="009A42B7"/>
    <w:rsid w:val="009A53C9"/>
    <w:rsid w:val="009D55C0"/>
    <w:rsid w:val="009D707C"/>
    <w:rsid w:val="009E0BDD"/>
    <w:rsid w:val="009E6CF2"/>
    <w:rsid w:val="009E7F29"/>
    <w:rsid w:val="00A131E9"/>
    <w:rsid w:val="00A312CA"/>
    <w:rsid w:val="00A619D8"/>
    <w:rsid w:val="00A621D7"/>
    <w:rsid w:val="00A905EC"/>
    <w:rsid w:val="00AB644E"/>
    <w:rsid w:val="00B160AA"/>
    <w:rsid w:val="00B36206"/>
    <w:rsid w:val="00B87EDE"/>
    <w:rsid w:val="00BA7814"/>
    <w:rsid w:val="00BB5BE9"/>
    <w:rsid w:val="00BC2406"/>
    <w:rsid w:val="00BC6392"/>
    <w:rsid w:val="00BE14E4"/>
    <w:rsid w:val="00BF6A8D"/>
    <w:rsid w:val="00C02BF5"/>
    <w:rsid w:val="00C20D00"/>
    <w:rsid w:val="00C24262"/>
    <w:rsid w:val="00C25284"/>
    <w:rsid w:val="00C55A5E"/>
    <w:rsid w:val="00CB3413"/>
    <w:rsid w:val="00CC3CFF"/>
    <w:rsid w:val="00CC7F9D"/>
    <w:rsid w:val="00D33D04"/>
    <w:rsid w:val="00D4693B"/>
    <w:rsid w:val="00D5680F"/>
    <w:rsid w:val="00D734CE"/>
    <w:rsid w:val="00DB1DC2"/>
    <w:rsid w:val="00DE5DD2"/>
    <w:rsid w:val="00E0622A"/>
    <w:rsid w:val="00E1498B"/>
    <w:rsid w:val="00E47885"/>
    <w:rsid w:val="00E5348C"/>
    <w:rsid w:val="00E53639"/>
    <w:rsid w:val="00E53A84"/>
    <w:rsid w:val="00E71828"/>
    <w:rsid w:val="00EE17E7"/>
    <w:rsid w:val="00F03D8B"/>
    <w:rsid w:val="00F06ABC"/>
    <w:rsid w:val="00F36CF1"/>
    <w:rsid w:val="00F70BCE"/>
    <w:rsid w:val="00F75EB8"/>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1032</Words>
  <Characters>5885</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2025-01-20T10:31:00Z</dcterms:created>
  <dcterms:modified xsi:type="dcterms:W3CDTF">2025-01-20T14:17:00Z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